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440" w:lineRule="exact"/>
        <w:rPr>
          <w:rFonts w:eastAsia="华文仿宋"/>
          <w:color w:val="000000"/>
          <w:sz w:val="28"/>
        </w:rPr>
      </w:pPr>
      <w:r>
        <w:rPr>
          <w:rFonts w:eastAsia="黑体"/>
          <w:color w:val="000000"/>
        </w:rPr>
        <w:t>附件2</w:t>
      </w:r>
    </w:p>
    <w:p>
      <w:pPr>
        <w:spacing w:line="500" w:lineRule="exact"/>
        <w:jc w:val="center"/>
        <w:rPr>
          <w:rFonts w:hint="eastAsia" w:eastAsia="方正仿宋简体"/>
          <w:bCs/>
          <w:color w:val="000000"/>
          <w:sz w:val="36"/>
          <w:szCs w:val="36"/>
        </w:rPr>
      </w:pPr>
      <w:bookmarkStart w:id="0" w:name="_GoBack"/>
      <w:r>
        <w:rPr>
          <w:rFonts w:hint="eastAsia" w:eastAsia="方正仿宋简体"/>
          <w:bCs/>
          <w:color w:val="000000"/>
          <w:sz w:val="36"/>
          <w:szCs w:val="36"/>
        </w:rPr>
        <w:t>2017年度全国一级注册建筑师资格考试</w:t>
      </w:r>
    </w:p>
    <w:p>
      <w:pPr>
        <w:spacing w:line="500" w:lineRule="exact"/>
        <w:jc w:val="center"/>
        <w:rPr>
          <w:rFonts w:hint="eastAsia" w:eastAsia="方正仿宋简体"/>
          <w:bCs/>
          <w:color w:val="000000"/>
          <w:sz w:val="36"/>
          <w:szCs w:val="36"/>
        </w:rPr>
      </w:pPr>
      <w:r>
        <w:rPr>
          <w:rFonts w:hint="eastAsia" w:eastAsia="方正仿宋简体"/>
          <w:bCs/>
          <w:color w:val="000000"/>
          <w:sz w:val="36"/>
          <w:szCs w:val="36"/>
        </w:rPr>
        <w:t>专业、学历及工作时间要求</w:t>
      </w:r>
    </w:p>
    <w:bookmarkEnd w:id="0"/>
    <w:tbl>
      <w:tblPr>
        <w:tblStyle w:val="6"/>
        <w:tblpPr w:leftFromText="180" w:rightFromText="180" w:vertAnchor="text" w:horzAnchor="margin" w:tblpY="312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924"/>
        <w:gridCol w:w="2842"/>
        <w:gridCol w:w="2324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before="156" w:beforeLines="50" w:line="440" w:lineRule="exact"/>
              <w:jc w:val="center"/>
              <w:rPr>
                <w:rFonts w:hint="eastAsia" w:ascii="方正仿宋简体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color w:val="000000"/>
                <w:sz w:val="28"/>
                <w:szCs w:val="28"/>
              </w:rPr>
              <w:t>专  业</w:t>
            </w:r>
          </w:p>
        </w:tc>
        <w:tc>
          <w:tcPr>
            <w:tcW w:w="376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before="156" w:beforeLines="50" w:line="440" w:lineRule="exact"/>
              <w:jc w:val="center"/>
              <w:rPr>
                <w:rFonts w:ascii="方正仿宋简体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eastAsia="方正仿宋简体"/>
                <w:bCs/>
                <w:color w:val="000000"/>
                <w:sz w:val="28"/>
                <w:szCs w:val="28"/>
              </w:rPr>
              <w:t>学位或学历</w:t>
            </w:r>
          </w:p>
        </w:tc>
        <w:tc>
          <w:tcPr>
            <w:tcW w:w="232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eastAsia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color w:val="000000"/>
                <w:sz w:val="28"/>
                <w:szCs w:val="28"/>
              </w:rPr>
              <w:t>取得学位或学历后从事建筑设计的最少年限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eastAsia="方正仿宋简体"/>
                <w:bCs/>
                <w:color w:val="000000"/>
                <w:sz w:val="28"/>
                <w:szCs w:val="28"/>
                <w:highlight w:val="cyan"/>
              </w:rPr>
            </w:pPr>
            <w:r>
              <w:rPr>
                <w:rFonts w:hint="eastAsia" w:ascii="方正仿宋简体" w:eastAsia="方正仿宋简体"/>
                <w:bCs/>
                <w:color w:val="000000"/>
                <w:sz w:val="28"/>
                <w:szCs w:val="28"/>
              </w:rPr>
              <w:t>对应的最迟毕业年限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3"/>
              <w:spacing w:before="936" w:beforeLines="300" w:line="440" w:lineRule="exact"/>
              <w:jc w:val="center"/>
              <w:rPr>
                <w:rFonts w:hint="eastAsia" w:ascii="方正仿宋简体" w:eastAsia="方正仿宋简体"/>
                <w:color w:val="000000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Cs w:val="28"/>
              </w:rPr>
              <w:t>建筑学</w:t>
            </w:r>
          </w:p>
          <w:p>
            <w:pPr>
              <w:pStyle w:val="3"/>
              <w:spacing w:before="312" w:beforeLines="100" w:line="440" w:lineRule="exact"/>
              <w:jc w:val="center"/>
              <w:rPr>
                <w:rFonts w:ascii="Times New Roman"/>
                <w:color w:val="000000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Cs w:val="28"/>
              </w:rPr>
              <w:t>建筑设计技术</w:t>
            </w:r>
            <w:r>
              <w:rPr>
                <w:rFonts w:hint="eastAsia" w:ascii="方正仿宋简体" w:eastAsia="方正仿宋简体"/>
                <w:color w:val="000000"/>
                <w:spacing w:val="-6"/>
                <w:szCs w:val="28"/>
              </w:rPr>
              <w:t>（原建筑设计）</w:t>
            </w:r>
          </w:p>
        </w:tc>
        <w:tc>
          <w:tcPr>
            <w:tcW w:w="924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spacing w:before="312" w:beforeLines="100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本科</w:t>
            </w:r>
          </w:p>
          <w:p>
            <w:pPr>
              <w:pStyle w:val="2"/>
              <w:spacing w:before="156" w:beforeLines="50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及</w:t>
            </w:r>
          </w:p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2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ind w:right="-186" w:rightChars="-58"/>
              <w:rPr>
                <w:rFonts w:hint="eastAsia" w:ascii="方正仿宋简体" w:eastAsia="方正仿宋简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pacing w:val="-10"/>
                <w:sz w:val="28"/>
                <w:szCs w:val="28"/>
              </w:rPr>
              <w:t>建筑学硕士或以上毕业</w:t>
            </w:r>
          </w:p>
        </w:tc>
        <w:tc>
          <w:tcPr>
            <w:tcW w:w="232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2年</w:t>
            </w:r>
          </w:p>
        </w:tc>
        <w:tc>
          <w:tcPr>
            <w:tcW w:w="11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建筑学学士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3年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五年制工学士或毕业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5年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3"/>
              <w:spacing w:before="150" w:line="440" w:lineRule="exact"/>
              <w:rPr>
                <w:rFonts w:hint="eastAsia" w:ascii="方正仿宋简体" w:eastAsia="方正仿宋简体"/>
                <w:color w:val="000000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Cs w:val="28"/>
              </w:rPr>
              <w:t>四年制工学士或毕业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before="312" w:beforeLines="100" w:line="440" w:lineRule="exact"/>
              <w:jc w:val="center"/>
              <w:rPr>
                <w:rFonts w:hint="eastAsia" w:ascii="方正仿宋简体" w:eastAsia="方正仿宋简体"/>
                <w:color w:val="000000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Cs w:val="28"/>
              </w:rPr>
              <w:t>专科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三年制毕业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9年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2008年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二年制毕业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2007年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56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pStyle w:val="3"/>
              <w:spacing w:before="312" w:beforeLines="100" w:line="440" w:lineRule="exact"/>
              <w:jc w:val="center"/>
              <w:rPr>
                <w:rFonts w:hint="eastAsia" w:ascii="方正仿宋简体" w:eastAsia="方正仿宋简体"/>
                <w:bCs/>
                <w:color w:val="FF0000"/>
                <w:spacing w:val="-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Cs w:val="28"/>
              </w:rPr>
              <w:t>相近专业</w:t>
            </w:r>
          </w:p>
        </w:tc>
        <w:tc>
          <w:tcPr>
            <w:tcW w:w="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0" w:line="44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本科</w:t>
            </w:r>
          </w:p>
          <w:p>
            <w:pPr>
              <w:spacing w:before="150" w:line="44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及</w:t>
            </w:r>
          </w:p>
          <w:p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工学博士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2年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2015年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left w:val="single" w:color="auto" w:sz="8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pacing w:val="-10"/>
                <w:sz w:val="28"/>
                <w:szCs w:val="28"/>
              </w:rPr>
              <w:t>工学硕士或研究生毕业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6年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left w:val="single" w:color="auto" w:sz="8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3"/>
              <w:spacing w:before="150" w:line="440" w:lineRule="exact"/>
              <w:rPr>
                <w:rFonts w:hint="eastAsia" w:ascii="方正仿宋简体" w:eastAsia="方正仿宋简体"/>
                <w:color w:val="000000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Cs w:val="28"/>
              </w:rPr>
              <w:t>五年制工学士或毕业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left w:val="single" w:color="auto" w:sz="8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四年制工学士或毕业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left w:val="single" w:color="auto" w:sz="8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before="312" w:beforeLines="100" w:line="440" w:lineRule="exact"/>
              <w:jc w:val="center"/>
              <w:rPr>
                <w:rFonts w:ascii="Times New Roman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专科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三年制毕业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10年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2007年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5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二年制毕业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11年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2006年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624" w:beforeLines="200" w:line="440" w:lineRule="exact"/>
              <w:jc w:val="center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其它工科</w:t>
            </w:r>
          </w:p>
        </w:tc>
        <w:tc>
          <w:tcPr>
            <w:tcW w:w="9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spacing w:before="156" w:beforeLines="5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本科</w:t>
            </w:r>
          </w:p>
          <w:p>
            <w:pPr>
              <w:pStyle w:val="4"/>
              <w:spacing w:before="156" w:beforeLines="50" w:line="4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及</w:t>
            </w:r>
          </w:p>
          <w:p>
            <w:pPr>
              <w:pStyle w:val="3"/>
              <w:spacing w:before="150" w:line="440" w:lineRule="exact"/>
              <w:jc w:val="center"/>
              <w:rPr>
                <w:rFonts w:ascii="Times New Roman"/>
                <w:color w:val="000000"/>
                <w:szCs w:val="28"/>
              </w:rPr>
            </w:pPr>
            <w:r>
              <w:rPr>
                <w:rFonts w:ascii="Times New Roman"/>
                <w:color w:val="000000"/>
                <w:szCs w:val="28"/>
              </w:rPr>
              <w:t>以上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pacing w:val="-10"/>
                <w:sz w:val="28"/>
                <w:szCs w:val="28"/>
              </w:rPr>
              <w:t>工学硕士或研究生毕业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7年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 w:val="28"/>
                <w:szCs w:val="28"/>
              </w:rPr>
              <w:t>五年制工学士或毕业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8年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2009年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5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spacing w:before="150" w:line="4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pStyle w:val="3"/>
              <w:spacing w:before="150" w:line="440" w:lineRule="exact"/>
              <w:rPr>
                <w:rFonts w:hint="eastAsia" w:ascii="方正仿宋简体" w:eastAsia="方正仿宋简体"/>
                <w:color w:val="000000"/>
                <w:szCs w:val="28"/>
              </w:rPr>
            </w:pPr>
            <w:r>
              <w:rPr>
                <w:rFonts w:hint="eastAsia" w:ascii="方正仿宋简体" w:eastAsia="方正仿宋简体"/>
                <w:color w:val="000000"/>
                <w:szCs w:val="28"/>
              </w:rPr>
              <w:t>四年制工学士或毕业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9年</w:t>
            </w: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50" w:line="44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2008年</w:t>
            </w:r>
          </w:p>
        </w:tc>
      </w:tr>
    </w:tbl>
    <w:p>
      <w:pPr>
        <w:spacing w:line="440" w:lineRule="exact"/>
        <w:ind w:left="560" w:hanging="560" w:hangingChars="200"/>
        <w:rPr>
          <w:sz w:val="28"/>
          <w:szCs w:val="28"/>
        </w:rPr>
      </w:pPr>
      <w:r>
        <w:rPr>
          <w:sz w:val="28"/>
          <w:szCs w:val="28"/>
        </w:rPr>
        <w:t>注：1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根据《中华人民共和国注册建筑师条例实施细则》（中华人民共和国建设部令第167号）、《普通高等学校本科专业目录》（1998年版、2012年版）、《普通高等学校高职高专教育指导性专业目录》（2004年版）等相关规定，“相近专业”：本科及以上为城乡规划（原城市规划）、土木工程（原建筑工程、原工业与民用建筑工程）、风景园林、环境设计（原环境艺术、原环境艺术设计）；专科为城镇规划（原城乡规划）、建筑工程技术（原房屋建筑工程）、园林工程技术（原风景园林）、建筑装饰工程技术（原建筑装饰技术）、环境艺术设计（原环境艺术）。</w:t>
      </w:r>
    </w:p>
    <w:p>
      <w:pPr>
        <w:spacing w:line="440" w:lineRule="exact"/>
        <w:ind w:left="563" w:leftChars="176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由于教育部专业名称调整及高校自设专业的影响，难以列举所有专业名称。如专业名称不在本表内的，可由考生提供学校专业课程设置、培养计划等材料，按下列情况审核处理：</w:t>
      </w:r>
    </w:p>
    <w:p>
      <w:pPr>
        <w:spacing w:line="440" w:lineRule="exact"/>
        <w:ind w:left="562" w:leftChars="132" w:hanging="140" w:hangingChars="50"/>
        <w:rPr>
          <w:sz w:val="28"/>
          <w:szCs w:val="28"/>
        </w:rPr>
      </w:pPr>
      <w:r>
        <w:rPr>
          <w:sz w:val="28"/>
          <w:szCs w:val="28"/>
        </w:rPr>
        <w:t>（1）主干课程设置及学时与建筑学专业一致，可参照建筑学（工学）、建筑设计技术专业相关规定报考；</w:t>
      </w:r>
    </w:p>
    <w:p>
      <w:pPr>
        <w:spacing w:line="440" w:lineRule="exact"/>
        <w:ind w:left="562" w:leftChars="132" w:hanging="140" w:hangingChars="50"/>
        <w:rPr>
          <w:sz w:val="28"/>
          <w:szCs w:val="28"/>
        </w:rPr>
      </w:pPr>
      <w:r>
        <w:rPr>
          <w:sz w:val="28"/>
          <w:szCs w:val="28"/>
        </w:rPr>
        <w:t>（2）多数主干课程设置及学时与建筑学专业一致，可参照相近专业相关规定报考；</w:t>
      </w:r>
    </w:p>
    <w:p>
      <w:pPr>
        <w:spacing w:line="440" w:lineRule="exact"/>
        <w:ind w:left="562" w:leftChars="132" w:hanging="140" w:hangingChars="50"/>
        <w:rPr>
          <w:sz w:val="28"/>
          <w:szCs w:val="28"/>
        </w:rPr>
      </w:pPr>
      <w:r>
        <w:rPr>
          <w:sz w:val="28"/>
          <w:szCs w:val="28"/>
        </w:rPr>
        <w:t>（3）主干课程设置及学时与相近专业基本一致，可参照相近专业相关规定报考。</w:t>
      </w:r>
    </w:p>
    <w:p>
      <w:r>
        <w:rPr>
          <w:sz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8C"/>
    <w:rsid w:val="002A6C8C"/>
    <w:rsid w:val="00E82226"/>
    <w:rsid w:val="011D709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line="440" w:lineRule="exact"/>
    </w:pPr>
    <w:rPr>
      <w:rFonts w:ascii="仿宋_GB2312"/>
      <w:szCs w:val="20"/>
    </w:rPr>
  </w:style>
  <w:style w:type="paragraph" w:styleId="3">
    <w:name w:val="Date"/>
    <w:basedOn w:val="1"/>
    <w:next w:val="1"/>
    <w:link w:val="9"/>
    <w:qFormat/>
    <w:uiPriority w:val="0"/>
    <w:rPr>
      <w:rFonts w:ascii="仿宋_GB2312"/>
      <w:sz w:val="28"/>
      <w:szCs w:val="20"/>
    </w:rPr>
  </w:style>
  <w:style w:type="paragraph" w:styleId="4">
    <w:name w:val="Body Text 2"/>
    <w:basedOn w:val="1"/>
    <w:link w:val="7"/>
    <w:unhideWhenUsed/>
    <w:qFormat/>
    <w:uiPriority w:val="99"/>
    <w:pPr>
      <w:spacing w:after="120" w:line="480" w:lineRule="auto"/>
    </w:pPr>
    <w:rPr>
      <w:rFonts w:asciiTheme="minorHAnsi" w:hAnsiTheme="minorHAnsi" w:cstheme="minorBidi"/>
    </w:rPr>
  </w:style>
  <w:style w:type="character" w:customStyle="1" w:styleId="7">
    <w:name w:val="正文文本 2 Char"/>
    <w:basedOn w:val="5"/>
    <w:link w:val="4"/>
    <w:qFormat/>
    <w:uiPriority w:val="99"/>
    <w:rPr>
      <w:rFonts w:eastAsia="仿宋_GB2312"/>
      <w:sz w:val="32"/>
      <w:szCs w:val="32"/>
    </w:rPr>
  </w:style>
  <w:style w:type="character" w:customStyle="1" w:styleId="8">
    <w:name w:val="正文文本 Char"/>
    <w:basedOn w:val="5"/>
    <w:link w:val="2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9">
    <w:name w:val="日期 Char"/>
    <w:basedOn w:val="5"/>
    <w:link w:val="3"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10">
    <w:name w:val="正文文本 2 Char1"/>
    <w:basedOn w:val="5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</Words>
  <Characters>772</Characters>
  <Lines>6</Lines>
  <Paragraphs>1</Paragraphs>
  <ScaleCrop>false</ScaleCrop>
  <LinksUpToDate>false</LinksUpToDate>
  <CharactersWithSpaces>906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2017-03-10T07:30:00Z</dcterms:created>
  <dc:creator>maoyu</dc:creator>
  <cp:lastModifiedBy>Administrator</cp:lastModifiedBy>
  <dcterms:modified xsi:type="dcterms:W3CDTF">2017-03-12T01:25:33Z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